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Grade ≥ 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443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Parameter Description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Visit 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 Units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Reference Range Indicator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Change from Baseline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ADLB records with CTCAE Grade ≥ 3 (ATOXGRN ≥ 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Parameter, Date.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WHERE ATOXGRN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2026-07-19T22:09:54Z</dcterms:modified>
  <cp:category/>
</cp:coreProperties>
</file>