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Adverse Events of Special Interest (AESI)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Any AESI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69 (30.7)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Endocrine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Neurologic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Dermatologic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AESI = pre-specified events of regulatory interest for the PD-1 inhibitor class (Protocol §7.4).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Categories driven by sponsor AESI MedDRA codelist (raw/codelists/aesi_meddra_pts.csv; 56 PTs across 12 categories).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rule per PT: most PTs are AESI at any grade; selected lab/symptom PTs require Grade&gt;=3 (e.g. ALT/AST, AKI, rash, diarrhoea, pruritus); IRR requires Grade&gt;=2.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is counted once per category regardless of multiple occurrences.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INNER JOIN raw/codelists/aesi_meddra_pts.csv.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2026-07-19T22:06:48Z</dcterms:modified>
  <cp:category/>
</cp:coreProperties>
</file>