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Demographic and Baseline Characteristics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920"/>
        <w:gridCol w:w="1920"/>
        <w:gridCol w:w="192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Characteristic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Age (years)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(11.2)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63.1 (10.7)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63.1 (10.9)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(45.0, 82.0)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 (45.0, 82.0)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(45.0, 82.0)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&lt; 65,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246 (54.7)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≥ 65,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 (45.3)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Sex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Female,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Male,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Race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White,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238 (52.9)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Asian,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(28.4)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(26.2)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Black or African American,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(10.2)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American Indian or Alaska Native,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Unknown,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Region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North America,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Europe,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Asia-Pacific,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South America,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Histology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Non-squamous,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(66.2)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(67.6)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Squamous,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(33.1)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ECOG performance status at baseline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0,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(22.0)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1,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 (57.6)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2,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(20.4)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PD-L1 TPS category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High &gt;=50%,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(31.6)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(31.3)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Medium 1-49%,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(62.7)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289 (64.2)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Low &lt;1%, n (%)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(4.4)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Percentages based on the number of subjects in each arm with non-missing data.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Region derived from COUNTRY (NA: US/Canada; EU: 7 European countries; APAC: Japan/Korea/Australia; SA: Brazil).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PD-L1 TPS category from ADSL.PDL1CAT.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2026-07-19T22:06:05Z</dcterms:modified>
  <cp:category/>
</cp:coreProperties>
</file>