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040"/>
        <w:gridCol w:w="1680"/>
        <w:gridCol w:w="1680"/>
        <w:gridCol w:w="16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with ≥ 1 major deviation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(44.9)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(42.2)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Deviation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Eligibility criteria violated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Major deviation = ADDV record with DVCAT='MAJOR'.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the simulator does not generate SDTM.DV / DS protocol-deviation records beyond the single randomised-never-dosed subject. Real studies populate the remaining subcategories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2026-07-19T22:06:15Z</dcterms:modified>
  <cp:category/>
</cp:coreProperties>
</file>