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(72.4)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(87.1)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(11.1, 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 (6.3, 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0.450 (0.360, 0.564)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Investigator read with BICR primary.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PFSINV PD dates derived from SDTM.RS records with RSEVAL='INVESTIGATOR'; primary PFS (T-EFF-03) uses RSEVAL='INDEPENDENT ASSESSOR' (BICR). BICR vs Investigator discordance is simulated at ~10%.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2026-07-19T22:06:30Z</dcterms:modified>
  <cp:category/>
</cp:coreProperties>
</file>