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Objective Response Rate — ITT Denominator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in ITT population,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Responders (confirmed CR/PR),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87 (38.7)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40 (17.8)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Non-responders (incl. no post-baseline assessment),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(82.2)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Of which: no post-baseline assessment (composite IE),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Risk difference TRT − PBO, % (95% CI Wald)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20.9 (12.8, 29.0)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(Cochran-Mantel-Haenszel, stratified)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95% CI per arm (Clopper-Pearson)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(32.3, 45.4)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(13.0, 23.4)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Estimand E3a (SAP §13.6) — uses full ITT as denominator (removes implicit selection in Response Evaluable).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Composite IE strategy retained: subjects without any post-baseline tumour assessment are counted as non-responders.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 this dataset, 0 subjects have no post-baseline assessment.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Per-arm 95% CI by Clopper-Pearson; stratified CMH test (histology × region).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(ITT) + adrs.parquet (CBOR).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2026-07-19T22:06:32Z</dcterms:modified>
  <cp:category/>
</cp:coreProperties>
</file>