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T-LB-02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Laboratory CTCAE Grade ≥ 3 Worst Post-Baseline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472"/>
        <w:gridCol w:w="2304"/>
        <w:gridCol w:w="2304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Alanine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Aspartate Aminotransferase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Bilirubin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Creatinine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Hemoglobin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Neutrophils (n with post-baseline grade)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≥ 3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(45.8)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Grade 4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Worst post-baseline CTCAE grade per subject per parameter.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Grade per CTCAE v5.0 (ADLB.ATOXGRN).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Section header rows show the per-arm denominator (subjects with at least one gradeable post-baseline value for that parameter).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datasets/adam/adlb.parquet (ATOXGRN).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2026-07-19T22:06:58Z</dcterms:modified>
  <cp:category/>
</cp:coreProperties>
</file>