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T-VS-02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Weight Change Categories — Worst On-Treatment Percent Change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with ≥1 post-baseline weight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Weight change category (worst on-treatment)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Loss ≥ 20%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Loss 10% to 20%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(15.1)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Loss 5% to 10%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(30.2)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(20.1)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significant change (±5%)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168 (75.0)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Gain 5% to 10%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Gain 10% to 20%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Gain ≥ 20%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Categories applied to per-subject worst (most extreme) post-baseline % change in weight.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Denominators = subjects with at least one post-baseline weight measurement per arm.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datasets/adam/advs.parquet WHERE PARAMCD='WEIGHT'.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2026-07-19T22:10:14Z</dcterms:modified>
  <cp:category/>
</cp:coreProperties>
</file>