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Serious Adverse Events by SOC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760"/>
        <w:gridCol w:w="2160"/>
        <w:gridCol w:w="216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 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Rash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Serious = ADAE.AESER='Y' (sub-criteria: death, hospitalisation, life-threatening, disability, congenital anomaly, other medically important).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SAE PTs included (no incidence cutoff).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TRTEMFL='Y' AND AESER='Y'.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2026-05-17T00:44:21Z</dcterms:modified>
  <cp:category/>
</cp:coreProperties>
</file>