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T-CM-01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Concomitant Medications by Indication Class and Preferred Term (≥5%)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6048"/>
        <w:gridCol w:w="2016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Depression / anxiety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122 (54.2)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118 (52.7)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ESCITALOPRAM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(29.0)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SERTRALINE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(29.8)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Diabetes mellitus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125 (55.8)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INSULIN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METFORMIN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Hyperlipidaemia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133 (59.1)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121 (54.0)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ATORVASTATIN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(33.3)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(30.8)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SIMVASTATIN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(33.3)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Infection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151 (67.1)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148 (66.1)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AMOXICILLIN/CLAVULANATE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(35.1)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AMOXICILLIN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(29.3)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LEVOFLOXACIN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Nausea and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TROPISETRON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METOCLOPRAMIDE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GRANISETRON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ONDANSETRON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(49.3)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(17.9)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PEMBROLIZUMAB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DOCETAXEL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on-treatment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Class grouping uses ADCM.CMINDC (curated indication class from the ATC lookup).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On-treatment = ADCM.ONTRTFL='Y' (medication period overlaps TRTSDT..TRTEDT).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datasets/adam/adcm.parquet WHERE ONTRTFL='Y'.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2026-05-17T00:46:02Z</dcterms:modified>
  <cp:category/>
</cp:coreProperties>
</file>