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Demographic and Baseline Characteristics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920"/>
        <w:gridCol w:w="1920"/>
        <w:gridCol w:w="192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Characteristic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Age (years)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(11.2)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63.1 (10.7)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63.1 (10.9)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(45.0, 82.0)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 (45.0, 82.0)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(45.0, 82.0)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&lt; 65,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246 (54.7)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≥ 65,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 (45.3)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Sex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Female,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(42.9)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Male,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257 (57.1)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Race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White,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238 (52.9)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Asian,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(28.4)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(26.2)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Black or African American,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(10.2)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American Indian or Alaska Native,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Unknown,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Region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North America,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(26.7)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Europe,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210 (46.7)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Asia-Pacific,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(20.0)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South America,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Histology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Non-squamous,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(66.2)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(67.6)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Squamous,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(33.1)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ECOG performance status at baseline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0,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(22.0)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1,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 (57.6)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2,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(20.4)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PD-L1 TPS category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High &gt;=50%,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(31.6)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(31.3)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Medium 1-49%,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(62.7)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289 (64.2)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Low &lt;1%, n (%)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(4.4)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Percentages based on the number of subjects in each arm with non-missing data.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Region derived from COUNTRY (NA: US/Canada; EU: 7 European countries; APAC: Japan/Korea/Australia; SA: Brazil).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PD-L1 TPS category from ADSL.PDL1CAT.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2026-05-17T00:44:16Z</dcterms:modified>
  <cp:category/>
</cp:coreProperties>
</file>