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1536"/>
        <w:gridCol w:w="1536"/>
        <w:gridCol w:w="153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(29.6)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Operationalises the intercurrent event taxonomy in SAP §13.3.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Subsequent anti-cancer therapy is not simulated in the synthetic CM data (counts = 0). In a real study these would come from ADCM or SDTM.CM with CMCAT='ANTI-CANCER'.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≥ 2 consecutive missed tumour assessments not directly captured in this dataset (counts = 0). Real studies derive this from ADRS gap analysis.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experience multiple IEs and appear in multiple rows.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ADSL, ADRS (PARAMCD='OVR'), SDTM.DS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2026-05-17T00:44:17Z</dcterms:modified>
  <cp:category/>
</cp:coreProperties>
</file>