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Progression-Free Survival Analysis (BICR)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subjects,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events,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178 (79.1)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204 (91.1)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Disease progression,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 (40.0)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113 (50.4)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Death without progression,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(39.1)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(41.1)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(20.9)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(8.9)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PFS,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10.9 (9.5, 13.1)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5.6 (5.4, 6.9)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Hazard ratio (95% CI), stratified Cox PH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0.556 (0.449, 0.690)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p-value, stratified log-rank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Median PFS estimated by Kaplan-Meier; 95% CI by Brookmeyer-Crowley (log-log).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Hazard ratio from stratified Cox proportional-hazards model.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Stratification factors: histology and region (NA / EU / APAC / OTHER).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Primary estimand (E2): hypothetical handling for new anti-cancer therapy and ≥2 consecutive missed assessments (FDA 2018). See SAP §13.5.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PARAMCD='PFS'.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2026-05-17T00:44:16Z</dcterms:modified>
  <cp:category/>
</cp:coreProperties>
</file>