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(73.8, 84.4)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72.7% (66.3, 78.0)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(62.3, 74.6)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46.5% (39.8, 53.0)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47.4% (40.4, 54.0)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23.9% (18.4, 29.9)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27.0% (20.9, 33.4)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8.7% (5.2, 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11.2% (6.5, 17.1)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1.8% (0.4, 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