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(N=118)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(N=86)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(37.2)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15.9 (12.4, 18.1)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12.8 (8.2, 14.8)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88.6% (79.2, 93.9)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80.6% (61.9, 90.8)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64.6% (52.5, 74.4)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53.4% (34.1, 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40.4% (28.1, 52.4)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21.9% (7.9, 40.3)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2026-05-17T00:44:18Z</dcterms:modified>
  <cp:category/>
</cp:coreProperties>
</file>