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ITT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86 (38.2)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Of which: no post-baseline assessment (composite IE),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24.0 (16.2, 31.8)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(31.8, 44.9)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(9.9, 19.5)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E3a (SAP §13.6) — uses full ITT as denominator (removes implicit selection in Response Evaluable).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Composite IE strategy retained: subjects without any post-baseline tumour assessment are counted as non-responders.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 this dataset, 0 subjects have no post-baseline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test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(ITT) + adrs.parquet (CBOR).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2026-05-17T00:44:19Z</dcterms:modified>
  <cp:category/>
</cp:coreProperties>
</file>