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295 deaths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Actual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Age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Sex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First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Death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Days post 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Death ≤ 30d?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Result or Finding in Original Units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2022-04-09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deceased subjects with their primary cause from SDTM.DD.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On-study death = within 30 days of last study treatment.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+ datasets/sdtm/dd.parquet.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2026-09-20T18:32:19Z</dcterms:modified>
  <cp:category/>
</cp:coreProperties>
</file>