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Grade ≥ 3 Laboratory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437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Parameter Description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Visit Name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Value Units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Reference Range Indicator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Baseline Value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Change from Baseline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SCREENING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EOT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MAINT_C17D1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MAINT_C15D1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MAINT_C18D1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MAINT_C9D1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C6D1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MAINT_C10D1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C4D1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C1D1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Hemoglobin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C3D1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g/dL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(11.50, 17.50)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C2D1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10^9/L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(1.80, 7.50)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ADLB records with CTCAE Grade ≥ 3 (ATOXGRN ≥ 3).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Parameter, Date.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WHERE ATOXGRN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2026-09-20T18:32:56Z</dcterms:modified>
  <cp:category/>
</cp:coreProperties>
</file>