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AE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treatment-emergent AE (TEAE)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 (69.3)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295 (65.6)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5 (fatal)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Serious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(48.3)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(41.3)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207 (46.0)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Immune-related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(36.3)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(26.4)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study drug discontinuation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270 (60.0)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dose modification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283 (94.3)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(96.0)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 (94.9)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treatment exposure (patient-years)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TEAE events (n)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2,761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Exposure-adjusted TEAE rate (events per 100 patient-years)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586.2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621.4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597.6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= number (percentage) of subjects in the arm with at least one event of the specified type. Multiple events per subject are counted once.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TEAE = AE with onset ≥ TRTSDT and ≤ TRTEDT + 30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Immune-related: ADAE.IRAEFL = 'Y' (derived from SDTM.AE.AECAT = 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Exposure-adjusted TEAE rate = TEAE events / total treatment exposure × 100, where exposure (patient-years) = ADSL.TRTDURD (TRTEDT − TRTSDT + 1) summed across the safety population and divided by 365.25. Numerator counts events, not subjects, so a subject with multiple events contributes more than once (SAP §5.5; estimand S2).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2026-09-20T18:31:56Z</dcterms:modified>
  <cp:category/>
</cp:coreProperties>
</file>