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Any treatment-emergent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251 (83.7)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(83.3)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(42.3)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(44.0)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(7.0)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264 (88.0)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132 (88.0)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(65.3)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(24.7)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(24.3)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134 (44.7)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84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(28.7)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66 (22.0)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35 (23.3)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82 (27.3)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(23.3)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77 (51.3)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(43.7)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(7.0)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'Any treatment-emergent AE' counts distinct subjects with &gt;= 1 TEAE and is not restricted by the &gt;= 5% Preferred Term filter.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SAFFL='Y' AND TRTEMFL='Y'; datasets/adam/adsl.parquet WHERE SAFFL='Y' (denominators).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2026-09-20T18:31:57Z</dcterms:modified>
  <cp:category/>
</cp:coreProperties>
</file>