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  |  Data cutoff: 2025-01-31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1F3864"/>
        </w:rPr>
        <w:t xml:space="preserve">T-AE-03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1F3864"/>
        </w:rPr>
        <w:t xml:space="preserve">Grade ≥ 3 Treatment-Emergent Adverse Events by SOC and PT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Safety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5760"/>
        <w:gridCol w:w="2160"/>
        <w:gridCol w:w="2160"/>
      </w:tblGrid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Torivumab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(N=300)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Placebo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(N=150)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73 (24.3)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31 (20.7)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(9.7)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(6.7)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(8.7)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(7.3)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(6.0)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Endocrine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12 (4.0)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Hypothyroidism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Adrenal insufficiency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Hyperthyroidism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86 (28.7)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40 (26.7)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(11.3)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(15.3)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Stomatitis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(4.3)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(6.0)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Vomiting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(5.3)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Colitis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(4.7)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(4.3)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(4.0)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Constipation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(3.3)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29 (9.7)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11 (7.3)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(5.7)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(4.0)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(4.3)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Hepatobiliary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 (3.0)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Hepatitis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Investigations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5 (1.7)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 (1.3)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Alanine aminotransferase increased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Aspartate aminotransferase increased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Metabolism and nutrition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18 (6.0)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6 (4.0)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(6.0)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(4.0)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Nervous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14 (4.7)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 (2.7)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Peripheral neuropathy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(4.7)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Respiratory, thoracic and mediastinal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21 (7.0)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8 (5.3)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Dyspnoea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(4.7)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(5.3)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Pneumonitis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42 (14.0)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15 (10.0)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(11.0)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(10.0)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Rash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(2.7)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Pruritus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(1.3)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Includes all PTs with at least one Grade ≥ 3 TEAE in either arm (no incidence cutoff).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Grade per CTCAE v5.0 (ADAE.AETOXGRN ≥ 3 = Grade 3 / 4 / 5).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Source: datasets/adam/adae.parquet WHERE TRTEMFL='Y' AND AETOXGRN &gt;= 3.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sectPr>
      <w:pgMar w:header="708" w:bottom="1080" w:top="1080" w:right="1152" w:left="1152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2026-09-20T18:31:57Z</dcterms:modified>
  <cp:category/>
</cp:coreProperties>
</file>