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18"/>
          <w:szCs w:val="18"/>
          <w:color w:val="1F3864"/>
        </w:rPr>
        <w:t xml:space="preserve">Celindra Therapeutics (fictional)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888888"/>
        </w:rPr>
        <w:t xml:space="preserve">Protocol TORIVUMAB-NSCLC-301  |  Data cutoff: 2025-01-31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1F3864"/>
        </w:rPr>
        <w:t xml:space="preserve">T-CM-01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4"/>
          <w:szCs w:val="24"/>
          <w:color w:val="1F3864"/>
        </w:rPr>
        <w:t xml:space="preserve">Concomitant Medications by Indication Class and Preferred Term (≥5%)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444444"/>
        </w:rPr>
        <w:t xml:space="preserve">Safety Population (N=450)</w:t>
      </w:r>
    </w:p>
    <w:p>
      <w:pPr>
        <w:pStyle w:val="Normal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6048"/>
        <w:gridCol w:w="2016"/>
        <w:gridCol w:w="2016"/>
      </w:tblGrid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Torivumab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(N=300)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Placebo + Chemotherapy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(N=150)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8" w:space="0" w:color="666666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Depression / anxiety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160 (53.3)</w:t>
            </w:r>
          </w:p>
        </w:tc>
        <w:tc>
          <w:tcPr>
            <w:tcBorders>
              <w:bottom w:val="single" w:sz="3" w:space="0" w:color="CCCCCC"/>
              <w:top w:val="single" w:sz="8" w:space="0" w:color="666666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81 (54.0)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SERTRALINE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(34.0)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ESCITALOPRAM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(31.7)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Diabetes mellitus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174 (58.0)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76 (50.7)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INSULIN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(35.7)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(28.7)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METFORMIN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(35.3)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(35.3)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Hyperlipidaemia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170 (56.7)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79 (52.7)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SIMVASTATIN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 (33.3)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ATORVASTATIN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(30.0)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Infection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203 (67.7)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100 (66.7)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AMOXICILLIN/CLAVULANATE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(33.0)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(33.3)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LEVOFLOXACIN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 (31.3)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(29.3)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AMOXICILLIN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(29.3)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(30.7)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Nausea and vomiting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300 (100.0)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150 (100.0)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TROPISETRON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(55.0)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(54.0)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GRANISETRON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(43.7)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(54.0)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METOCLOPRAMIDE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(53.3)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ONDANSETRON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(47.7)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(46.0)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1F3864"/>
              </w:rPr>
              <w:t xml:space="preserve">SUBSEQUENT ANTI-CANCER THERAPY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41 (13.7)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30 (20.0)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3" w:space="0" w:color="CCCCCC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PEMBROLIZUMAB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single" w:sz="3" w:space="0" w:color="CCCCCC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(14.0)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666666"/>
              <w:top w:val="single" w:sz="3" w:space="0" w:color="CCCCCC"/>
              <w:left w:val="single" w:sz="8" w:space="0" w:color="666666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DOCETAXEL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3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(8.7)</w:t>
            </w:r>
          </w:p>
        </w:tc>
        <w:tc>
          <w:tcPr>
            <w:tcBorders>
              <w:bottom w:val="single" w:sz="8" w:space="0" w:color="666666"/>
              <w:top w:val="single" w:sz="3" w:space="0" w:color="CCCCCC"/>
              <w:left w:val="single" w:sz="3" w:space="0" w:color="CCCCCC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(3.3)</w:t>
            </w:r>
          </w:p>
        </w:tc>
      </w:tr>
    </w:tbl>
    <w:p>
      <w:pPr>
        <w:pStyle w:val="Normal"/>
      </w:pPr>
      <w:r>
        <w:t xml:space="preserve">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Includes preferred terms with on-treatment incidence ≥ 5% in either arm.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Class grouping uses ADCM.CMINDC (curated indication class from the ATC lookup).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On-treatment = ADCM.ONTRTFL='Y' (medication period overlaps TRTSDT..TRTEDT).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Source: datasets/adam/adcm.parquet WHERE ONTRTFL='Y'.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4"/>
          <w:szCs w:val="14"/>
          <w:color w:val="C0392B"/>
        </w:rPr>
        <w:t xml:space="preserve">DRAFT — produced 2026-09-20 — synthetic data, NOT for regulatory submission</w:t>
      </w:r>
    </w:p>
    <w:sectPr>
      <w:pgMar w:header="708" w:bottom="1080" w:top="1080" w:right="1152" w:left="1152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2026-09-20T18:32:59Z</dcterms:modified>
  <cp:category/>
</cp:coreProperties>
</file>