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T-DM-01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Demographic and Baseline Characteristics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ITT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320"/>
        <w:gridCol w:w="1920"/>
        <w:gridCol w:w="1920"/>
        <w:gridCol w:w="1920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(N=450)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Age (years)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Mean (SD)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63.2 (11.1)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62.9 (10.4)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63.1 (10.9)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Median (Min, Max)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62.5 (45.0, 82.0)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63.0 (45.0, 82.0)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63.0 (45.0, 82.0)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&lt; 65,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(53.0)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(56.7)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(54.2)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≥ 65,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(47.0)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(43.3)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 (45.8)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Sex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Female,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Male,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Race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White,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(54.0)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 (53.3)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Asian,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(28.0)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(24.7)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(26.9)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Black or African American,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(10.7)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(10.2)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American Indian or Alaska Native,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Other,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(4.7)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(4.9)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Unknown,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(2.9)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Region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North America,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Europe,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Asia-Pacific,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South America,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Histology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Non-squamous,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(67.7)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(67.3)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304 (67.6)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Squamous,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(32.3)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(32.4)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ECOG performance status at baseline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0,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(23.0)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(26.0)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1,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(55.7)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(54.7)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 (55.3)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2,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(19.3)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(20.7)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PD-L1 TPS category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High &gt;=50%,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(28.3)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(29.8)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Medium 1-49%,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(66.7)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(64.0)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 (65.8)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Low &lt;1%, n (%)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(5.0)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(3.3)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(4.4)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Percentages based on the number of subjects in each arm with non-missing data.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Region derived from COUNTRY (NA: US/Canada; EU: 7 European countries; APAC: Japan/Korea/Australia; SA: Brazil).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PD-L1 TPS category from ADSL.PDL1CAT.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datasets/adam/adsl.parquet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2026-09-20T18:31:48Z</dcterms:modified>
  <cp:category/>
</cp:coreProperties>
</file>