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T-DS-01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Subject Disposition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608"/>
        <w:gridCol w:w="1824"/>
        <w:gridCol w:w="1824"/>
        <w:gridCol w:w="1824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Subjects randomised (ITT)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Subjects treated (Safety population)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Per-Protocol population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 (91.3)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412 (91.6)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Treatment status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Completed treatment per protocol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(26.3)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(22.4)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Discontinued treatment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 (73.7)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(85.3)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349 (77.6)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Progressive disease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(46.7)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(63.3)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235 (52.2)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Adverse event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(16.7)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(15.6)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Withdrawal by subject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Physician decision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Other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Vital status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Died on study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(59.7)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(77.3)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 (65.6)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Percentages based on ITT N per arm.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Discontinuation categories from ADDS.DSCATGY + ADDS.DSDECOD.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 subject may appear in only one discontinuation category.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datasets/adam/adsl.parquet + datasets/adam/adds.parquet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2026-09-20T18:31:50Z</dcterms:modified>
  <cp:category/>
</cp:coreProperties>
</file>