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221 (73.7)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(85.3)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349 (77.6)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(16.7)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(13.3)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(15.6)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(25.3)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(30.0)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(26.9)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(2.2)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therapy: real counts from ADCM.SUBSQTFL='Y' (added 2026-05-17; raw simulator `16_subsequent_therapy.R`).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assessments: detected from ADRS OVR by gaps &gt; 16 weeks against the scheduled Q6W grid (~6% subjects carry a stochastic 2-3 visit miss episode from `09_tumor_measurements.R`).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SDTM.DS, ADCM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2026-09-20T18:31:50Z</dcterms:modified>
  <cp:category/>
</cp:coreProperties>
</file>