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(79.9, 88.2)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90.0% (83.9, 93.8)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73.0% (67.6, 77.7)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63.1% (54.8, 70.3)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56.3% (50.3, 61.7)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38.8% (30.8, 46.6)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38.9% (32.8, 44.9)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19.4% (12.9, 27.0)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29.4% (22.7, 36.4)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14.7% (8.8, 22.1)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2026-09-20T18:31:51Z</dcterms:modified>
  <cp:category/>
</cp:coreProperties>
</file>