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(79.8, 88.1)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76.3% (68.5, 82.3)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(61.6, 72.5)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(47.7, 63.9)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45.7% (39.6, 51.5)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23.6% (16.9, 31.1)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29.0% (23.4, 34.9)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14.4% (8.9, 21.1)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11.8% (7.6, 17.0)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2.1% (0.4, 6.5)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2026-09-20T18:31:52Z</dcterms:modified>
  <cp:category/>
</cp:coreProperties>
</file>