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(N=444)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(N=295)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(11.4)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(48.1)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(10.8)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(35.6)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(30.1, 41.3)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(7.3, 18.4)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(stratified MH, 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23.2 (15.7, 30.8)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Risk difference is the Mantel-Haenszel weighted difference in proportions across histology × region strata, with Greenland-Robins 95% CI. Strata containing no subjects in one arm carry no information about the difference and are excluded.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 The CMH procedure tests a common odds ratio; the effect estimate reported above is the risk difference, per SAP §13.6.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2026-09-20T18:31:52Z</dcterms:modified>
  <cp:category/>
</cp:coreProperties>
</file>