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(79.9, 88.2)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(83.9, 93.8)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-5.4 (-11.8, 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73.0% (67.6, 77.7)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63.1% (54.8, 70.3)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9.9 (0.6, 19.1)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56.3% (50.3, 61.7)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38.8% (30.8, 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17.5 (7.7, 27.3)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38.9% (32.8, 44.9)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19.4% (12.9, 27.0)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 (10.1, 28.8)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29.4% (22.7, 36.4)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14.7% (8.8, 22.1)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14.6 (5.0, 24.3)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2026-09-20T18:31:53Z</dcterms:modified>
  <cp:category/>
</cp:coreProperties>
</file>