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T-EX-01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Study Drug Exposure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896"/>
        <w:gridCol w:w="1728"/>
        <w:gridCol w:w="1728"/>
        <w:gridCol w:w="1728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Treatment duration (days)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381.3 (229.5)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362.5 (199.1)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375.0 (219.8)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Median (Min, Max)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(1, 738)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348 (1, 739)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380 (1, 739)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Number of study drug cycles received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 (1.2)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 (1.0)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 (1.1)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Median (Min, Max)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(1, 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(1, 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(1, 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Cumulative torivumab dose (mg)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1092 (233)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1092 (233)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Median (Min, Max)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1200 (200, 1200)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1200 (200, 1200)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Relative dose intensity (%) — study drug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98.4 (2.5)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Median (Min, Max)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 (88.3, 100.0)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(0.0, 0.0)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Treatment duration = ADSL.TRTDURD (TRTEDT − TRTSDT + 1 days).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Cycle count = number of TORIVUMAB or PLACEBO records in ADEX PARAMCD='DOSEAMT'.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Cumulative torivumab dose = ADEX PARAMCD='CUMDOSE', AEXTRT='TORIVUMAB' (mg).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Relative dose intensity (RDI) = ADEX PARAMCD='RDI' = 100 × actual cumulative / planned cumulative dose. Planned per cycle: torivumab/placebo 200 mg; chemo per-subject mean used as planned (synthetic-data simplification).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datasets/adam/adex.parquet + datasets/adam/adsl.parquet.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2026-09-20T18:31:51Z</dcterms:modified>
  <cp:category/>
</cp:coreProperties>
</file>