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T-LB-02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Laboratory CTCAE Grade ≥ 3 Worst Post-Baseline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472"/>
        <w:gridCol w:w="230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Alkaline Phosphatase (n with post-baseline grade)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Alanine Aminotransferase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299 (99.7)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Aspartate Aminotransferase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Bilirubin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Creatinine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Hemoglobin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(30.3)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Neutrophils (n with post-baseline grade)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≥ 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(47.7)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Grade 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Worst post-baseline CTCAE grade per subject per parameter.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Grade per CTCAE v5.0 (ADLB.ATOXGRN).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Section header rows show the per-arm denominator (subjects with at least one gradeable post-baseline value for that parameter).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datasets/adam/adlb.parquet (ATOXGRN).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2026-09-20T18:32:02Z</dcterms:modified>
  <cp:category/>
</cp:coreProperties>
</file>