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T-VS-02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Weight Change Categories — Worst On-Treatment Percent Change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with ≥1 post-baseline weight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Weight change category (worst on-treatment)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(N=300)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(N=150)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≥ 20%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(0.3)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Loss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significant change (±5%)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(57.7)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(76.0)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5% to 10%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10% to 20%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Gain ≥ 20%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Categories applied to per-subject worst (most extreme) post-baseline % change in weight.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Denominators = subjects with at least one post-baseline weight measurement per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datasets/adam/advs.parquet WHERE PARAMCD='WEIGHT'.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2026-09-20T18:33:00Z</dcterms:modified>
  <cp:category/>
</cp:coreProperties>
</file>