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1536"/>
        <w:gridCol w:w="1536"/>
        <w:gridCol w:w="153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(27.1)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Operationalises the intercurrent event taxonomy in SAP §13.3.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Subsequent anti-cancer therapy: real counts from ADCM.SUBSQTFL='Y' (added 2026-05-17; raw simulator `16_subsequent_therapy.R`).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≥ 2 consecutive missed tumour assessments: detected from ADRS OVR by gaps &gt; 16 weeks against the scheduled Q6W grid (~6% subjects carry a stochastic 2-3 visit miss episode from `09_tumor_measurements.R`).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experience multiple IEs and appear in multiple rows.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ADSL, ADRS (PARAMCD='OVR'), SDTM.DS, ADCM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2026-07-19T22:20:43Z</dcterms:modified>
  <cp:category/>
</cp:coreProperties>
</file>