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Kaplan-Meier Survival Probabilities — Overall Survival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2880"/>
        <w:gridCol w:w="288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OS probability at 6 months (95% CI)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87.9% (82.9, 91.6)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80.3% (74.5, 85.0)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OS probability at 12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75.3% (69.0, 80.4)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60.0% (53.3, 66.1)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OS probability at 18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61.1% (54.3, 67.3)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36.5% (30.1, 42.9)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OS probability at 24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42.2% (35.1, 49.2)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19.9% (14.4, 26.0)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OS probability at 30 months (95% CI)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28.5% (21.2, 36.2)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15.3% (9.7, 21.9)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Survival probabilities estimated by Kaplan-Meier.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95% CI by Greenwood SE on the log-log transformation.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Supplements T-EFF-01 (primary OS analysis).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datasets/adam/adtte.parquet WHERE PARAMCD='OS'.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2026-07-19T22:20:47Z</dcterms:modified>
  <cp:category/>
</cp:coreProperties>
</file>