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83.1% (77.5, 87.5)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77.9% (71.9, 82.8)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(63.7, 76.0)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(46.2, 59.4)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48.9% (41.9, 55.5)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27.3% (21.5, 33.5)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32.5% (26.0, 39.3)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9.3% (5.6, 14.0)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14.9% (9.6, 21.3)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0.0% (NA, NA)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2026-07-19T22:20:48Z</dcterms:modified>
  <cp:category/>
</cp:coreProperties>
</file>