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(N=87)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(62.5)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(37.5)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18.0 (15.8, 20.3)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12.6 (8.0, 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(80.3, 94.2)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(64.2, 90.5)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74.6% (63.3, 82.8)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55.5% (36.8, 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51.5% (38.8, 62.8)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13.9% (3.1, 32.8)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2026-07-19T22:20:52Z</dcterms:modified>
  <cp:category/>
</cp:coreProperties>
</file>