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— While-on-Treatment Sensitivity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 (ITT),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 on/within 30d of last dose),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 — alive at TRTEDT + 30d,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 — lost before TRTEDT + 30d,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OS-WOT,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20.0 (17.4, 23.7)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13.8 (12.0, 15.2)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0.504 (0.382, 0.664)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E1b (SAP §13.4) — isolates the treatment-period effect from late off-treatment dilution.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Event = death on or within 30 days of last study treatment (TRTEDT + 30 days).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Censor = min(TRTEDT + 30 days, LSTALVDT).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SAP §13.4 also specifies censoring at start of subsequent anti-cancer therapy; that variable is not simulated in this dataset, so only the TRTEDT + 30d component is applied.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PARAMCD='OSWOT'.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2026-07-19T22:20:59Z</dcterms:modified>
  <cp:category/>
</cp:coreProperties>
</file>