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608"/>
        <w:gridCol w:w="1824"/>
        <w:gridCol w:w="1824"/>
        <w:gridCol w:w="182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randomised (ITT)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treated (Safety population)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Completed treatment per protocol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(19.8)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Discontinued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Progressive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Withdrawal by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Physician decision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Vital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Died on study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(77.3)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312 (69.3)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ITT N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Discontinuation reasons from SDTM.DS (DSDECOD).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discontinuation category (first reason).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datasets/adam/adsl.parquet, datasets/sdtm/ds.parquet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2026-05-16T21:40:28Z</dcterms:modified>
  <cp:category/>
</cp:coreProperties>
</file>