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Sex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Race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Not reported,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Region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ECOG PS at baseline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PD-L1 TPS group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50–74%,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75%,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prior lines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 (first-line),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Descriptive: n (%) for categorical; n, mean (SD), median, min, max for continuous.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(n, mean, SD, median, 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n/mean/SD/median/min/max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 &lt; 65 / &gt;=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AGEGR1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 (Female/Male),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Ethnicity,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Histology category,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HISTSCAT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ECOG PS at baseline,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BECOG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PD-L1 TPS group,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PDL1GR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Screen failures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Randomised / ITT (N=450)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Discontinued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Withdrawal by subject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Death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Counts and percentages for each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/ ITT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EOSSTT='ONGOING'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EOSSTT='COMPLETED'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Discontinued (by reason)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EOSSTT='DISCONTINUED'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Subjects with ≥ 1 major deviation,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with ≥1 major deviation by category. Source: SDTM.DS where DSDECOD='PROTOCOL DEVIATION' AND DSSCAT='MAJOR'.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with &gt;= 1 major deviation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ADAE, ADTTE, SDTM.CM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experiencing each pre-specified IE. Supports reviewer judgement of whether the chosen IE handling strategies (§13.3) remain appropriate given observed IE frequencies.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 is not missing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DCSREAS='ADVERSE EVENT'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SDTM.CM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CMCAT='ANTI-CANCER' AND CMSTDTC &gt; 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 (requires SDTM.CM linkage; placeholder for ADCM if available)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scheduled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EVNTDESC contains 'missed'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flag derivable from PFS censoring reason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→ counted as ORR non-responder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 &lt; first_RSDT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for ORR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DCSREAS='WITHDRAWAL BY SUBJECT'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T-EX-01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Treatment duration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12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24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cycles received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Relative dose intensity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Continuous; 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 summaries computed from ADSL (TRTDURD, N_CYCLES, CUMDOSE) — no separate ADEX dataset in scope.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(months) — median (min,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median/min/max (TRTDURD/30.4375)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6 / 12 / 24 cycles,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N_CYCLES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N_CYCLES &gt;= threshold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Cumulative dose (mg)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CUMDOSE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Relative dose intensity (%) — mean (SD)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RDOSE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 (actual/planned x 100)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analysis. Triggered at ~320 OS events (event-driven, Protocol §8.1). Strata: histology (STRAT2), region (STRAT3).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survdiff(Surv(AVAL,1-CNSR)~TRT01P+strata(STRAT2,STRAT3),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T-EFF-01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survdiff(...,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(CR + 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(Wilson — sensitivity)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Best Overall Response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CI; Wilson Score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Clopper-Pearson 95% CI primary; Wilson as sensitivity row. Subjects with no post-baseline assessment counted as non-responders (§4.3).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CR+PR),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 AND AVALC IN ('CR','PR')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ORRFL='Y'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(Wilson — sensitivity)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BinomCI(x,n,method='wilson')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(MH)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CMH p-value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p.value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BOR breakdown (CR/PR/SD/PD/NE)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AVALC level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with CR + PR + SD (≥ 8 wks),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Uses DCRFL. SD requires duration ≥8 weeks from randomisation.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 (CR+PR+SD&gt;=8wks),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ANL01FL='Y' AND AVALC IN ('CR','PR','SD')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DCRFL='Y'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+ CMH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estimate, p.value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DoR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6 months,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12 months,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Median; 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  |  Estimand: E4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 formal between-arm test (hypothesis-generating).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DoR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6 months,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6*30.4375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12 months,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12*30.4375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T-EFF-08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Per-Protocol Population (N=405)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— primary OS re-run on PP population.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(PP: PPROTFL='Y')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T-EFF-09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Landmark Analysis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Difference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Landmark Survival Comparison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Difference in survival probability with 95% CI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12 months per arm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times=365.25)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24 months per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times=730.5)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Difference (Torivumab - Placebo), 95% CI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surv_diff = surv_arm1 - surv_arm2; CI via Greenwood log-log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T-EFF-10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Restricted Mean Survival Time (OS)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Estimate /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at τ = 36 months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(N=300)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(N=150)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Difference (Torivumab −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Mean Survival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  |  Estimand: E1a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36 months.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Torivumab (tau=36 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rmst2(AVAL, 1-CNSR, arm, tau=36*30.4375) -&gt; RMST arm 1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Placebo (tau=36 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RMST arm 0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Difference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unadjusted diff, lower, 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PFS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§4.2  |  Estimand: E2a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PARAMCD='PFSINV' in ADTTE.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PFS-INV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at subsequent anti-cancer therapy,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OS — WOT,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Hazard ratio (stratified Cox)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(stratified log-rank)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§13.4  |  Estimand: E1b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PARAMCD='OSWOT' in ADTTE — censors OS at min(start of subsequent anti-cancer therapy, TRTEDT + 30 days). Phase 5 ADaM gap: add OSWOT parameter to ADTTE via admiral::derive_param_tte with revised censor_conditions.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 on/within 30d of treatment),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 (incl. censored at subsequent therapy start),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OS-WOT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TRT - PBO (stratified MH)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§13.6  |  Estimand: E3a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E3a — removes implicit selection in Response Evaluable by using ITT denominator. More conservative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ORRFL='Y'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sum(ORRFL='Y') / N_ITT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(ORRFL='N' OR ORRFL is missing)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complement of responders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TRT - PBO (stratified MH)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ORRFL,TRT01PN,STRAT2,STRAT3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RD,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Clopper-Pearson 95% CI per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 by TRT01PN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Summary of AEs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serious AE (SAE)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leading to discontinuation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immune-related AE (irAE)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irAE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adverse event of special interest (AESI)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 leading to death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of subjects.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TRTEMFL='Y'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such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SAE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AESER='Y'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-&gt;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IRAEFL='Y'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AESI='Y'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 -&gt;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TRTEMFL='Y'. Include PTs where incidence ≥5% in either arm. Sorted by decreasing Torivumab-arm incidence.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(header)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System Organ Class (SOC)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PT in SOC; sorted by AEBODSYS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occurrence; threshold &gt;= 5% either arm; sorted by Torivumab incidence desc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Exposure-adjusted rate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per 100 person-years (tern::rate_derivation)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(Grade ≥ 3)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 AND AETOXGR ∈ {3,4,5}.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Grade &gt;= 3 TEAE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Grade 3+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(Serious)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SAE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Immune-Related AEs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Pneumonitis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Colitis / Diarrhoea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Hepatitis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Endocrinopathies (any)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Diabetes mellitus type 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Infusion-related reaction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Other irAE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Time-to-Onset / Resolution (KM)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by category × grade; median time to onset and resolution (KM). Filtered to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 category x grade (n, 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IRAECAT x AETOXGR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onset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ASTDT - TRTSDT; KM median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resolution (months)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AEOUT IN ('RECOVERED','RESOLVED')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AENDT - ASTDT; KM median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AESIs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1 (per Protocol §7.4)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[Categories per Protocol §7.4 AESI list — to be finalised at SAP lock]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flag from MedDRA PT list in Protocol §7.4.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 category x grade (n, 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AESICAT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AESICAT x AETOXGR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Within 30 days of last dose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Unknown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Deaths after data cutoff (not counted)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[Source: ADSL DTHFL='Y'; DTHCAUS]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Mixed population: on-treatment denominator = Safety; all deaths denominator = ITT (noted per row).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Within 30 days of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DTHDT-TRTEDT&lt;=30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DTHDT-TRTEDT &lt;=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DTHCAUS='DISEASE PROGRESSION'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Other / Unknown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remaining causes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Abnormalities (Shift Table)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Normal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Low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High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Table (Baseline → Worst Post-Baseline)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panel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Baseline NCI status (Normal/Low/High)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ABLFL='Y'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BNRIND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Cross-tab BNRIND x worst post-baseline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Worst post-baseline NCI status (Normal/Low/High)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ANRIND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max(ATOXGR) post-baseline -&gt;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filter (one panel per test)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= &lt;lab test&gt;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Loop over selected PARAMCDs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Alkaline Phosphatase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Bilirubin (total)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Creatinine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Sodium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Potassium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TSH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parameters...]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with ≥1 post-baseline ATOXGR ≥ 3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(PARAMCD), n (%)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ATOXGR &gt;= 3 AND ANL01FL='Y'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PARAMCD,ATOXGR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post-baseline Grade 3+ per PARAMCD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F-EFF-01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curve per TRT01P.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survival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times=seq(0,36,6)*30.4375)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F-EFF-02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F-EFF-01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PFS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times=seq(0,24,6)*30.4375)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F-EFF-03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Waterfall — Best Percent Change in SLD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Waterfall (Best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to subjects with measurable disease at baseline.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subject (sorted by best % change desc)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order by AVAL ascending (most negative = best response)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best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= (SLD_nadir - SLD_baseline) / SLD_baseline *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Bar colour by treatment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fill =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-30% (PR threshold)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geom_hline(yintercept=-30)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+20% (PD threshold)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geom_hline(yintercept=20)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F-EFF-04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Spider — SLD Change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Spider (Longitudinal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weeks from baseline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 / 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per visit (not restricted to nadir)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line per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group = USUBJID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Line colour by treatment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colour = TRT01P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F-EFF-05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Subgroup Forest (Unstratified Cox)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Per-subgroup unstratified Cox HR; overall stratified HR at top. Square size ∝ subgroup 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Per-subgroup HR + 95% CI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AVAL,CNSR,HISTSCAT,REGION1,SEX,AGEGR1,BECOG,PDL1GR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coxph(Surv(AVAL,1-CNSR)~TRT01P) per subgroup level (unstratified)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and events per subgroup level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and sum(1-CNSR) per subgroup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HR (diamond)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stratified overall (same as T-EFF-01)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log-scale HR (0.1 to 10)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scale_x_log10()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F-EFF-06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Swimmer — Responders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Swimmer Lane (Responders)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responders only.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from randomisation (months)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 - RANDDT converted to months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Lane per responder (y-axis)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horizontal bar per 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start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 IN ('CR','PR')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first response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end (PD or censored)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start + AVAL days; open arrow if censored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 event marker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AVALC='PD'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triangle marker at PD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marker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 marker at DTHDT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AEBODSYS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AENDT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AESER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AEACN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AEOUT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identifier; sort key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System Organ Class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 (ISO 8601); sort key 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end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Action taken with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 to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outcome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L-AE-02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DTHCAUS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EOSSTT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Computed columns: days from last dose to death; days from randomisation to death.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Date of death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 cause of 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 (for days-since-last-dose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Randomisation date (for OS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End-of-study status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last dose to death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TRTEDT (days)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randomisation to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DTHDT-RANDDT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RANDDT (days)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L-AE-03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AEACN='DRUG WITHDRAWN'.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L-LB-01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PARAMCD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AVISIT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ANRLO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ANRHI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ATOXGR ≥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code (e.g. ALT, HGB)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visit label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result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lower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upper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NCI CTCAE toxicity grade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L-DS-01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TRT01P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DSSTDTC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DSDECOD='PROTOCOL DEVIATION' AND DSSCAT='MAJOR'. Shows deviation category and description.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2026-05-16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Planned treatment arm (from ADSL)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Deviation date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Standardised disposition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Subcategory (MAJOR)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Verbatim deviation description</w:t>
            </w:r>
          </w:p>
        </w:tc>
      </w:tr>
    </w:tbl>
    <w:sectPr>
      <w:pgMar w:header="576" w:bottom="1080" w:top="1080" w:right="1152" w:left="1152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db5475978377603da76f29c68fe0bd94671a353.png"/>
<Relationship Id="rId8" Type="http://schemas.openxmlformats.org/officeDocument/2006/relationships/image" Target="media/1b876afa2c3cd95b22a47be5eed7faa73089d992.png"/>
<Relationship Id="rId9" Type="http://schemas.openxmlformats.org/officeDocument/2006/relationships/image" Target="media/9f0c4a53811382a76bb9312a626a530df62407ce.png"/>
<Relationship Id="rId10" Type="http://schemas.openxmlformats.org/officeDocument/2006/relationships/image" Target="media/93365e3f88d297c9835dc8bed83e5f3ead8d5d4a.png"/>
<Relationship Id="rId11" Type="http://schemas.openxmlformats.org/officeDocument/2006/relationships/image" Target="media/c3941e03d6b678c776b24935cea34302a7b9b87f.png"/>
<Relationship Id="rId12" Type="http://schemas.openxmlformats.org/officeDocument/2006/relationships/image" Target="media/09aa4e8a63692c3c5b74a051fa35c1ef71de66b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2026-05-16T21:29:35Z</dcterms:modified>
  <cp:category/>
</cp:coreProperties>
</file>