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Subject Disposition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608"/>
        <w:gridCol w:w="1824"/>
        <w:gridCol w:w="1824"/>
        <w:gridCol w:w="182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randomised (ITT)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450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treated (Safety population)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 (99.8)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Per-Protocol population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208 (92.4)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 (90.7)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412 (91.6)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Treatment status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Completed treatment per protocol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(16.4)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(19.8)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Discontinued treatment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(76.9)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361 (80.2)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Progressive disease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(49.3)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 (62.2)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251 (55.8)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Withdrawal by subject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Physician decision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Vital status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Died on study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174 (77.3)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312 (69.3)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Percentages based on ITT N per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Discontinuation categories from ADDS.DSCATGY + ADDS.DSDECOD.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appear in only one discontinuation category.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+ datasets/adam/adds.parquet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2026-07-19T17:39:42Z</dcterms:modified>
  <cp:category/>
</cp:coreProperties>
</file>