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T-DS-03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Intercurrent Events Summary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472"/>
        <w:gridCol w:w="1536"/>
        <w:gridCol w:w="1536"/>
        <w:gridCol w:w="1536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Total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(N=450)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Treatment discontinuation (any reason)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173 (76.9)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188 (83.6)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361 (80.2)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Treatment discontinuation due to 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(17.3)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(14.2)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 (15.8)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Initiation of subsequent anti-cancer 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(32.0)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 (27.1)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133 (29.6)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 2 consecutive missed tumour assessments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(9.3)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(4.4)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(6.9)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 post-baseline tumour assessment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(4.2)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Death before first response assessment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(4.2)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Withdrawal of consent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(3.1)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(2.0)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Operationalises the intercurrent event taxonomy in SAP §13.3.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Subsequent anti-cancer therapy: real counts from ADCM.SUBSQTFL='Y' (added 2026-05-17; raw simulator `16_subsequent_therapy.R`).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≥ 2 consecutive missed tumour assessments: detected from ADRS OVR by gaps &gt; 16 weeks against the scheduled Q6W grid (~6% subjects carry a stochastic 2-3 visit miss episode from `09_tumor_measurements.R`).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 subject may experience multiple IEs and appear in multiple rows.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ADSL, ADRS (PARAMCD='OVR'), SDTM.DS, ADCM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2026-07-19T17:39:43Z</dcterms:modified>
  <cp:category/>
</cp:coreProperties>
</file>