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21.4 (19.2,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 (12.9, 16.0)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0.575 (0.459, 0.721)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OS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(squamous / non-squamous)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(E1): treatment policy for all intercurrent events. See SAP §13.4.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2026-07-19T17:39:39Z</dcterms:modified>
  <cp:category/>
</cp:coreProperties>
</file>