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83.1% (77.5, 87.5)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(71.9, 82.8)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(63.7, 76.0)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(46.2, 59.4)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48.9% (41.9, 55.5)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27.3% (21.5, 33.5)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32.5% (26.0, 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9.3% (5.6, 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14.9% (9.6, 21.3)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0.0% (NA, NA)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2026-07-19T17:39:45Z</dcterms:modified>
  <cp:category/>
</cp:coreProperties>
</file>