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(Investigator-Assessed)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(N=431)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(N=219)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Confirmed Best Overall Response (CBOR)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(17.0)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Objective Response Rate (CR + 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87 (39.7)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(33.2, 46.5)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(13.8, 24.8)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20.9 (12.5, 29.2)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Response Evaluable = ITT with ≥1 post-baseline tumour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Best Overall Response (CBOR) per RECIST 1.1 — confirmation requires a second CR/PR ≥28 days after the first with no intervening PD.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for ORR by Clopper-Pearson exact method.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 test: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§13.6 specifies BICR-assessed response; this study simulates only Investigator-assessed RS records.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2026-07-19T17:39:46Z</dcterms:modified>
  <cp:category/>
</cp:coreProperties>
</file>