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T-EFF-09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Landmark Analysis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592"/>
        <w:gridCol w:w="1872"/>
        <w:gridCol w:w="1872"/>
        <w:gridCol w:w="1872"/>
        <w:gridCol w:w="187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Landmark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Difference TRT − PBO (95% CI)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p-value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months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87.9% (82.9, 91.6)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80.3% (74.5, 85.0)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7.6 (0.8, 14.3)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75.3% (69.0, 80.4)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60.0% (53.3, 66.1)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15.2 (6.7, 23.8)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61.1% (54.3, 67.3)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36.5% (30.1, 42.9)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24.6 (15.5, 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42.2% (35.1, 49.2)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19.9% (14.4, 26.0)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22.4 (13.2, 31.5)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months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28.5% (21.2, 36.2)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15.3% (9.7, 21.9)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13.3 (3.5, 23.0)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Survival probabilities at fixed landmark months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on the difference via Greenwood SE (sum of arm-specific SEs).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Two-sided p-value: z = diff / SE_diff.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Reference: SAP §11 sensitivity.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2026-07-19T17:39:48Z</dcterms:modified>
  <cp:category/>
</cp:coreProperties>
</file>