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T-EFF-10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Restricted Mean Survival Time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896"/>
        <w:gridCol w:w="1728"/>
        <w:gridCol w:w="1728"/>
        <w:gridCol w:w="172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Treatment effect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Restricted Mean OS at τ = 30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19.88 (18.61, 21.16)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15.32 (14.09, 16.54)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Difference TRT − PBO,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4.56 (2.80, 6.33)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(test of difference)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RMST(τ=30 months) — area under the KM curve up to τ.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τ = 30 months reflects the minimum of arm-specific maximum follow-up (35 mo TRT, ~32 mo PBO at-risk). SAP §13.4 proposes 36 months as the protocol-defined horizon; the 6-month gap is accepted as a permanent structural limitation (AL-06 in qc/VALIDATION-PLAN.md) because lifting τ would require extending the data cutoff and re-cascading the full pipeline. Revisitable only if accrual is extended.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Estimand E1a (SAP §13.4): sensitivity to the proportional-hazards assumption underlying T-EFF-01.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Estimated via survRM2::rmst2() (unadjusted, stratification handled via inverse-probability weighting in the package; same arms as primary).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2026-07-19T17:39:48Z</dcterms:modified>
  <cp:category/>
</cp:coreProperties>
</file>