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Weight Change Categories — Worst On-Treatment Percent Change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with ≥1 post-baseline weight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Weight change category (worst on-treatment)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≥ 20%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significant change (±5%)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(75.0)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≥ 20%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applied to per-subject worst (most extreme) post-baseline % change in weight.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Denominators = subjects with at least one post-baseline weight measurement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 WHERE PARAMCD='WEIGHT'.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2026-07-19T17:54:38Z</dcterms:modified>
  <cp:category/>
</cp:coreProperties>
</file>