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Adverse Events of Special Interest (AESI)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112 (37.3)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(12.0)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Endocrine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(8.3)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Neurologic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Dermatologic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AESI = pre-specified events of regulatory interest for the PD-1 inhibitor class (Protocol §7.4).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driven by sponsor AESI MedDRA codelist (raw/codelists/aesi_meddra_pts.csv; 56 PTs across 12 categories).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rule per PT: most PTs are AESI at any grade; selected lab/symptom PTs require Grade&gt;=3 (e.g. ALT/AST, AKI, rash, diarrhoea, pruritus); IRR requires Grade&gt;=2.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is counted once per category regardless of multiple occurrences.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INNER JOIN raw/codelists/aesi_meddra_pts.csv.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2026-09-20T20:48:41Z</dcterms:modified>
  <cp:category/>
</cp:coreProperties>
</file>