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160 (53.3)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(31.3)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(34.0)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(31.7)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174 (58.0)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76 (50.7)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(35.7)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(35.3)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(35.3)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170 (56.7)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79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(31.3)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203 (67.7)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100 (66.7)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(31.3)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(30.7)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(55.0)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(43.7)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(53.3)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(47.7)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41 (13.7)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(8.7)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2026-09-20T20:49:40Z</dcterms:modified>
  <cp:category/>
</cp:coreProperties>
</file>