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  |  Data cutoff: 2025-01-31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1F3864"/>
        </w:rPr>
        <w:t xml:space="preserve">T-DS-03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4"/>
          <w:szCs w:val="24"/>
          <w:color w:val="1F3864"/>
        </w:rPr>
        <w:t xml:space="preserve">Intercurrent Events Summary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444444"/>
        </w:rPr>
        <w:t xml:space="preserve">ITT Population (N=450)</w:t>
      </w:r>
    </w:p>
    <w:p>
      <w:pPr>
        <w:pStyle w:val="Normal"/>
      </w:pPr>
      <w:r>
        <w:t xml:space="preserve"> 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5472"/>
        <w:gridCol w:w="1536"/>
        <w:gridCol w:w="1536"/>
        <w:gridCol w:w="1536"/>
      </w:tblGrid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 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Torivumab + Chemotherapy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(N=300)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Placebo + Chemotherapy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(N=150)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8" w:space="0" w:color="666666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Total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(N=450)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8" w:space="0" w:color="666666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discontinuation (any reason)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221 (73.7)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128 (85.3)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349 (77.6)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discontinuation due to AE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 (16.7)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 (13.3)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(15.6)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Initiation of subsequent anti-cancer 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 (25.3)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(30.0)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121 (26.9)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 2 consecutive missed tumour assessments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 (8.7)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(6.0)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(7.8)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 post-baseline tumour assessment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(3.3)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(4.0)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(3.6)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Death before first response assessment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(3.0)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(4.0)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(3.3)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666666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Withdrawal of consent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(3.0)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(0.7)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(2.2)</w:t>
            </w:r>
          </w:p>
        </w:tc>
      </w:tr>
    </w:tbl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Operationalises the intercurrent event taxonomy in SAP §13.3.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Subsequent anti-cancer therapy: real counts from ADCM.SUBSQTFL='Y' (added 2026-05-17; raw simulator `16_subsequent_therapy.R`).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≥ 2 consecutive missed tumour assessments: detected from ADRS OVR by gaps &gt; 16 weeks against the scheduled Q6W grid (~6% subjects carry a stochastic 2-3 visit miss episode from `09_tumor_measurements.R`).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A subject may experience multiple IEs and appear in multiple rows.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Source: ADSL, ADRS (PARAMCD='OVR'), SDTM.DS, ADCM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— produced 2026-09-20 — synthetic data, NOT for regulatory submission</w:t>
      </w:r>
    </w:p>
    <w:sectPr>
      <w:pgMar w:header="708" w:bottom="1080" w:top="1080" w:right="1152" w:left="1152" w:footer="708" w:gutter="0"/>
      <w:pgSz w:h="16834" w:w="11909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2026-09-20T20:48:33Z</dcterms:modified>
  <cp:category/>
</cp:coreProperties>
</file>